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4C4A3FD9" w:rsidR="003958F3" w:rsidRPr="00ED38E8" w:rsidRDefault="00ED38E8">
            <w:r w:rsidRPr="00ED38E8">
              <w:t>Elisha Ayala</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FB1A627" w:rsidR="003958F3" w:rsidRPr="00ED38E8" w:rsidRDefault="00ED38E8">
            <w:r w:rsidRPr="00ED38E8">
              <w:t>5</w:t>
            </w:r>
            <w:r w:rsidRPr="00ED38E8">
              <w:rPr>
                <w:vertAlign w:val="superscript"/>
              </w:rPr>
              <w:t>th</w:t>
            </w:r>
            <w:r w:rsidRPr="00ED38E8">
              <w:t xml:space="preserve"> Grade Math</w:t>
            </w:r>
          </w:p>
        </w:tc>
      </w:tr>
      <w:tr w:rsidR="00B87796" w14:paraId="4FA35B25" w14:textId="77777777" w:rsidTr="00830DD9">
        <w:tc>
          <w:tcPr>
            <w:tcW w:w="2610" w:type="dxa"/>
          </w:tcPr>
          <w:p w14:paraId="7E77FFC0" w14:textId="1CC9FE3F" w:rsidR="00B87796" w:rsidRPr="00830DD9" w:rsidRDefault="00B87796">
            <w:pPr>
              <w:rPr>
                <w:b/>
              </w:rPr>
            </w:pPr>
            <w:r w:rsidRPr="00830DD9">
              <w:rPr>
                <w:b/>
              </w:rPr>
              <w:t xml:space="preserve">Unit </w:t>
            </w:r>
          </w:p>
        </w:tc>
        <w:tc>
          <w:tcPr>
            <w:tcW w:w="6498" w:type="dxa"/>
          </w:tcPr>
          <w:p w14:paraId="5C9B5F49" w14:textId="313A6698" w:rsidR="00B87796" w:rsidRPr="00ED38E8" w:rsidRDefault="005B38C4">
            <w:r>
              <w:t>Number Sense and Operations Open Responses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1AD7CC48" w:rsidR="00FE7D80" w:rsidRPr="00ED38E8" w:rsidRDefault="00ED38E8" w:rsidP="00ED38E8">
            <w:pPr>
              <w:pStyle w:val="NoSpacing"/>
              <w:spacing w:before="120" w:after="120"/>
              <w:ind w:left="0" w:firstLine="0"/>
              <w:rPr>
                <w:rFonts w:asciiTheme="minorHAnsi" w:hAnsiTheme="minorHAnsi"/>
                <w:sz w:val="24"/>
                <w:szCs w:val="24"/>
              </w:rPr>
            </w:pPr>
            <w:r w:rsidRPr="00ED38E8">
              <w:rPr>
                <w:rFonts w:asciiTheme="minorHAnsi" w:hAnsiTheme="minorHAnsi"/>
                <w:sz w:val="24"/>
                <w:szCs w:val="24"/>
              </w:rPr>
              <w:t>We will determine the correct operation, write an equation, and calculate the answer when answering an open-response question.</w:t>
            </w:r>
            <w:bookmarkStart w:id="0" w:name="_GoBack"/>
            <w:bookmarkEnd w:id="0"/>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D1F3057" w14:textId="77777777" w:rsidR="00ED38E8" w:rsidRDefault="00ED38E8" w:rsidP="00ED38E8">
            <w:pPr>
              <w:pStyle w:val="NoSpacing"/>
              <w:spacing w:before="120" w:after="120"/>
              <w:rPr>
                <w:rFonts w:ascii="Times New Roman" w:hAnsi="Times New Roman"/>
              </w:rPr>
            </w:pPr>
            <w:r>
              <w:rPr>
                <w:rFonts w:ascii="Times New Roman" w:hAnsi="Times New Roman"/>
              </w:rPr>
              <w:t xml:space="preserve">Students will explain how they calculated their answer when answering each part of the open-response question.  </w:t>
            </w:r>
          </w:p>
          <w:p w14:paraId="0A9013B1" w14:textId="77777777" w:rsidR="00ED38E8" w:rsidRPr="00ED38E8" w:rsidRDefault="00ED38E8" w:rsidP="00ED38E8">
            <w:pPr>
              <w:pStyle w:val="NoSpacing"/>
              <w:spacing w:before="120" w:after="120"/>
              <w:rPr>
                <w:rFonts w:ascii="Times New Roman" w:hAnsi="Times New Roman"/>
                <w:i/>
              </w:rPr>
            </w:pPr>
            <w:r w:rsidRPr="00ED38E8">
              <w:rPr>
                <w:rFonts w:ascii="Times New Roman" w:hAnsi="Times New Roman"/>
                <w:i/>
              </w:rPr>
              <w:t>Language Objective Differentiation for Proficiency Levels:</w:t>
            </w:r>
          </w:p>
          <w:p w14:paraId="54501F21" w14:textId="77777777" w:rsidR="00ED38E8" w:rsidRDefault="00ED38E8" w:rsidP="00ED38E8">
            <w:pPr>
              <w:pStyle w:val="NoSpacing"/>
              <w:spacing w:before="120" w:after="120"/>
              <w:rPr>
                <w:rFonts w:ascii="Times New Roman" w:hAnsi="Times New Roman"/>
              </w:rPr>
            </w:pPr>
            <w:r>
              <w:rPr>
                <w:rFonts w:ascii="Times New Roman" w:hAnsi="Times New Roman"/>
              </w:rPr>
              <w:t>Level 1: Students will communicate ideas by writing equations, using symbols, and pictures.</w:t>
            </w:r>
          </w:p>
          <w:p w14:paraId="20C706D0" w14:textId="77777777" w:rsidR="00ED38E8" w:rsidRDefault="00ED38E8" w:rsidP="00ED38E8">
            <w:pPr>
              <w:pStyle w:val="NoSpacing"/>
              <w:spacing w:before="120" w:after="120"/>
              <w:rPr>
                <w:rFonts w:ascii="Times New Roman" w:hAnsi="Times New Roman"/>
              </w:rPr>
            </w:pPr>
            <w:r>
              <w:rPr>
                <w:rFonts w:ascii="Times New Roman" w:hAnsi="Times New Roman"/>
              </w:rPr>
              <w:t>Level 2: Students will write simple sentences using words from math word wall.</w:t>
            </w:r>
          </w:p>
          <w:p w14:paraId="0E5D1A87" w14:textId="77777777" w:rsidR="00ED38E8" w:rsidRDefault="00ED38E8" w:rsidP="00ED38E8">
            <w:pPr>
              <w:pStyle w:val="NoSpacing"/>
              <w:spacing w:before="120" w:after="120"/>
              <w:rPr>
                <w:rFonts w:ascii="Times New Roman" w:hAnsi="Times New Roman"/>
              </w:rPr>
            </w:pPr>
            <w:r>
              <w:rPr>
                <w:rFonts w:ascii="Times New Roman" w:hAnsi="Times New Roman"/>
              </w:rPr>
              <w:t>Level 3: Students will describe the procedure they used to calculate the answer using words from the math word wall.</w:t>
            </w:r>
          </w:p>
          <w:p w14:paraId="24CF7307" w14:textId="77777777" w:rsidR="00ED38E8" w:rsidRDefault="00ED38E8" w:rsidP="00ED38E8">
            <w:pPr>
              <w:pStyle w:val="NoSpacing"/>
              <w:spacing w:before="120" w:after="120"/>
              <w:rPr>
                <w:rFonts w:ascii="Times New Roman" w:hAnsi="Times New Roman"/>
              </w:rPr>
            </w:pPr>
            <w:r>
              <w:rPr>
                <w:rFonts w:ascii="Times New Roman" w:hAnsi="Times New Roman"/>
              </w:rPr>
              <w:t>Level 4: Students will explain strategies they used when solving each part of the open-response question.</w:t>
            </w:r>
          </w:p>
          <w:p w14:paraId="247933E1" w14:textId="09E26849" w:rsidR="00EC12DA" w:rsidRPr="00ED38E8" w:rsidRDefault="00ED38E8" w:rsidP="00ED38E8">
            <w:pPr>
              <w:pStyle w:val="NoSpacing"/>
              <w:spacing w:before="120" w:after="120"/>
              <w:rPr>
                <w:rFonts w:ascii="Times New Roman" w:hAnsi="Times New Roman"/>
              </w:rPr>
            </w:pPr>
            <w:r>
              <w:rPr>
                <w:rFonts w:ascii="Times New Roman" w:hAnsi="Times New Roman"/>
              </w:rPr>
              <w:t>Level 5: Students will apply content-based knowledge in their written explanation for each part of the open-response question.</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0233994E" w14:textId="77777777" w:rsidR="00ED38E8" w:rsidRPr="00ED38E8" w:rsidRDefault="00ED38E8" w:rsidP="00ED38E8">
            <w:pPr>
              <w:pStyle w:val="NoSpacing"/>
              <w:spacing w:before="120" w:after="120"/>
              <w:rPr>
                <w:rFonts w:asciiTheme="minorHAnsi" w:hAnsiTheme="minorHAnsi"/>
                <w:sz w:val="24"/>
                <w:szCs w:val="24"/>
              </w:rPr>
            </w:pPr>
            <w:r w:rsidRPr="00ED38E8">
              <w:rPr>
                <w:rFonts w:asciiTheme="minorHAnsi" w:hAnsiTheme="minorHAnsi"/>
                <w:sz w:val="24"/>
                <w:szCs w:val="24"/>
              </w:rPr>
              <w:t>Partner Reading: Variation 3</w:t>
            </w:r>
          </w:p>
          <w:p w14:paraId="108CFD63" w14:textId="77777777" w:rsidR="00ED38E8" w:rsidRPr="00ED38E8" w:rsidRDefault="00ED38E8" w:rsidP="00ED38E8">
            <w:pPr>
              <w:pStyle w:val="NoSpacing"/>
              <w:spacing w:before="120" w:after="120"/>
              <w:rPr>
                <w:rFonts w:asciiTheme="minorHAnsi" w:hAnsiTheme="minorHAnsi"/>
                <w:sz w:val="24"/>
                <w:szCs w:val="24"/>
              </w:rPr>
            </w:pPr>
            <w:r w:rsidRPr="00ED38E8">
              <w:rPr>
                <w:rFonts w:asciiTheme="minorHAnsi" w:hAnsiTheme="minorHAnsi"/>
                <w:sz w:val="24"/>
                <w:szCs w:val="24"/>
              </w:rPr>
              <w:t>Partner #1 reads aloud one sentence.</w:t>
            </w:r>
          </w:p>
          <w:p w14:paraId="0BE16D5A" w14:textId="77777777" w:rsidR="00ED38E8" w:rsidRPr="00ED38E8" w:rsidRDefault="00ED38E8" w:rsidP="00ED38E8">
            <w:pPr>
              <w:pStyle w:val="NoSpacing"/>
              <w:spacing w:before="120" w:after="120"/>
              <w:rPr>
                <w:rFonts w:asciiTheme="minorHAnsi" w:hAnsiTheme="minorHAnsi"/>
                <w:sz w:val="24"/>
                <w:szCs w:val="24"/>
              </w:rPr>
            </w:pPr>
            <w:r w:rsidRPr="00ED38E8">
              <w:rPr>
                <w:rFonts w:asciiTheme="minorHAnsi" w:hAnsiTheme="minorHAnsi"/>
                <w:sz w:val="24"/>
                <w:szCs w:val="24"/>
              </w:rPr>
              <w:t>Partner #2 questions or comments about the content, language structure, or word from the sentence Partner #1 just read.</w:t>
            </w:r>
          </w:p>
          <w:p w14:paraId="6347202A" w14:textId="0838B70C" w:rsidR="00FE7D80" w:rsidRPr="00ED38E8" w:rsidRDefault="00ED38E8">
            <w:r w:rsidRPr="00ED38E8">
              <w:t>Partner #1 responds. Partners switch.</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4DC76A6C" w:rsidR="00FE7D80" w:rsidRPr="00ED38E8" w:rsidRDefault="00ED38E8">
            <w:r w:rsidRPr="00ED38E8">
              <w:t xml:space="preserve">This strategy was modified so that it could be used during a Math class.  This strategy was used when students were answering an open-response question.  First, students were asked to read the open-response question silently and underline key words that would help them calculate the answer.  Students had to rely on previous strategies used in </w:t>
            </w:r>
            <w:r w:rsidRPr="00ED38E8">
              <w:lastRenderedPageBreak/>
              <w:t>class to do this part independently (Word Wheel / Text Features).</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3F950AB6" w14:textId="16BDC603" w:rsidR="005B38C4" w:rsidRDefault="005B38C4" w:rsidP="005B38C4">
            <w:r w:rsidRPr="005B38C4">
              <w:t>This strategy is a great cooperative learning strategy which encourages students to work together and rely on one another.  ELL students who do not feel comfortable speaking</w:t>
            </w:r>
            <w:r>
              <w:t xml:space="preserve"> aloud in a whole group setting benefit</w:t>
            </w:r>
            <w:r w:rsidRPr="005B38C4">
              <w:t xml:space="preserve"> from this strategy.  I made sure to partner ELL students with more dominate English speakers so that my ELLs would have a model of fluent reading.  Partner reading (Variation #3) gave my students the opportunity to take turns reading and provide each other with feedback as a way to monitor each other’s comprehension of the question.</w:t>
            </w:r>
          </w:p>
          <w:p w14:paraId="09621C5D" w14:textId="77777777" w:rsidR="005B38C4" w:rsidRPr="005B38C4" w:rsidRDefault="005B38C4" w:rsidP="005B38C4"/>
          <w:p w14:paraId="53C8BC09" w14:textId="77777777" w:rsidR="005B38C4" w:rsidRPr="005B38C4" w:rsidRDefault="005B38C4" w:rsidP="005B38C4">
            <w:r w:rsidRPr="005B38C4">
              <w:t>This strategy encouraged students to use the academic language during their discussion with their partner.  Students had to think about what the question was asking and then discuss it with their partner.  Clarifications were made by either partner to help them understand each part of the open-response question.  If students can explain what they’ve read to their partner, this indicates that they understood the content.  This strategy also provides direct opportunity for the teacher to circulate the classroom and listen to student discussions to see if the student comprehends what they are reading.  Teachers can also offer individual remediation and check for understanding.</w:t>
            </w:r>
          </w:p>
          <w:p w14:paraId="02DFEA79" w14:textId="77777777" w:rsidR="005B38C4" w:rsidRDefault="005B38C4" w:rsidP="005B38C4"/>
          <w:p w14:paraId="782DC2FF" w14:textId="6332DC4D" w:rsidR="00FE7D80" w:rsidRPr="00ED38E8" w:rsidRDefault="005B38C4">
            <w:r w:rsidRPr="005B38C4">
              <w:t xml:space="preserve">To increase my </w:t>
            </w:r>
            <w:proofErr w:type="spellStart"/>
            <w:r w:rsidRPr="005B38C4">
              <w:t>ELLs’</w:t>
            </w:r>
            <w:proofErr w:type="spellEnd"/>
            <w:r w:rsidRPr="005B38C4">
              <w:t xml:space="preserve"> engagement and interaction, the next tim</w:t>
            </w:r>
            <w:r>
              <w:t>e I try this strategy, I would w</w:t>
            </w:r>
            <w:r w:rsidRPr="005B38C4">
              <w:t>rite out sentence starters for my ELL students to use when it is their turn to question or comment about the content they just read.</w:t>
            </w:r>
          </w:p>
        </w:tc>
      </w:tr>
    </w:tbl>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57424F"/>
    <w:rsid w:val="005B38C4"/>
    <w:rsid w:val="006E5CE9"/>
    <w:rsid w:val="00830DD9"/>
    <w:rsid w:val="008C550F"/>
    <w:rsid w:val="00A946C2"/>
    <w:rsid w:val="00B34FF2"/>
    <w:rsid w:val="00B87796"/>
    <w:rsid w:val="00BB4205"/>
    <w:rsid w:val="00BE5983"/>
    <w:rsid w:val="00D75CDD"/>
    <w:rsid w:val="00E7327B"/>
    <w:rsid w:val="00EC12DA"/>
    <w:rsid w:val="00ED38E8"/>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ED38E8"/>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D38E8"/>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ED38E8"/>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D38E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B230-0B1D-47CA-8458-7703DEEC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2014-03-24T20:01:00Z</dcterms:created>
  <dcterms:modified xsi:type="dcterms:W3CDTF">2014-03-24T20:03:00Z</dcterms:modified>
</cp:coreProperties>
</file>