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2380DE80" w:rsidR="003958F3" w:rsidRDefault="00C24DD6">
            <w:r>
              <w:t xml:space="preserve">Paul </w:t>
            </w:r>
            <w:proofErr w:type="spellStart"/>
            <w:r>
              <w:t>Flanigan</w:t>
            </w:r>
            <w:proofErr w:type="spellEnd"/>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6050F2A9" w:rsidR="003958F3" w:rsidRDefault="00C24DD6">
            <w:r>
              <w:t>Science Grade 5</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1F32B91C" w:rsidR="00B87796" w:rsidRDefault="00C24DD6">
            <w:r>
              <w:t>Simple Machines</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5863A66E" w:rsidR="00FE7D80" w:rsidRPr="00C24DD6" w:rsidRDefault="00C24DD6" w:rsidP="00FB46A8">
            <w:pPr>
              <w:pStyle w:val="NoSpacing"/>
              <w:spacing w:before="120" w:after="120"/>
              <w:rPr>
                <w:rFonts w:ascii="Times New Roman" w:hAnsi="Times New Roman"/>
                <w:sz w:val="24"/>
                <w:szCs w:val="24"/>
              </w:rPr>
            </w:pPr>
            <w:r w:rsidRPr="00C24DD6">
              <w:rPr>
                <w:rFonts w:ascii="Times New Roman" w:hAnsi="Times New Roman"/>
                <w:sz w:val="24"/>
                <w:szCs w:val="24"/>
              </w:rPr>
              <w:t>Students will understand that when using the lever, the farther out on the lever arm the effort is applied</w:t>
            </w:r>
            <w:r w:rsidR="00FB46A8">
              <w:rPr>
                <w:rFonts w:ascii="Times New Roman" w:hAnsi="Times New Roman"/>
                <w:sz w:val="24"/>
                <w:szCs w:val="24"/>
              </w:rPr>
              <w:t>,</w:t>
            </w:r>
            <w:r w:rsidRPr="00C24DD6">
              <w:rPr>
                <w:rFonts w:ascii="Times New Roman" w:hAnsi="Times New Roman"/>
                <w:sz w:val="24"/>
                <w:szCs w:val="24"/>
              </w:rPr>
              <w:t xml:space="preserve"> the less the effort.</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247933E1" w14:textId="7B22B736" w:rsidR="00EC12DA" w:rsidRPr="00C24DD6" w:rsidRDefault="00C24DD6" w:rsidP="00C24DD6">
            <w:pPr>
              <w:pStyle w:val="NoSpacing"/>
              <w:spacing w:before="120" w:after="120"/>
              <w:rPr>
                <w:rFonts w:ascii="Times New Roman" w:hAnsi="Times New Roman"/>
                <w:sz w:val="24"/>
                <w:szCs w:val="24"/>
              </w:rPr>
            </w:pPr>
            <w:r w:rsidRPr="00C24DD6">
              <w:rPr>
                <w:rFonts w:ascii="Times New Roman" w:hAnsi="Times New Roman"/>
                <w:sz w:val="24"/>
                <w:szCs w:val="24"/>
              </w:rPr>
              <w:t>Students will be able to use the vocabulary words properly by writing them each in the appropriate sentences.</w:t>
            </w:r>
          </w:p>
        </w:tc>
      </w:tr>
      <w:tr w:rsidR="00B87796" w14:paraId="3AA9D32F" w14:textId="77777777" w:rsidTr="00830DD9">
        <w:tc>
          <w:tcPr>
            <w:tcW w:w="2610" w:type="dxa"/>
          </w:tcPr>
          <w:p w14:paraId="6BE0A2E7" w14:textId="4851E012" w:rsidR="00B87796" w:rsidRPr="00830DD9" w:rsidRDefault="00B87796" w:rsidP="00B87796">
            <w:pPr>
              <w:rPr>
                <w:b/>
              </w:rPr>
            </w:pPr>
            <w:r w:rsidRPr="00830DD9">
              <w:rPr>
                <w:b/>
              </w:rPr>
              <w:t xml:space="preserve">Strategy </w:t>
            </w:r>
          </w:p>
        </w:tc>
        <w:tc>
          <w:tcPr>
            <w:tcW w:w="6498" w:type="dxa"/>
          </w:tcPr>
          <w:p w14:paraId="6347202A" w14:textId="080DEC02" w:rsidR="00FE7D80" w:rsidRPr="00FB46A8" w:rsidRDefault="00C24DD6" w:rsidP="00FB46A8">
            <w:pPr>
              <w:pStyle w:val="NoSpacing"/>
              <w:spacing w:before="120"/>
              <w:rPr>
                <w:rFonts w:ascii="Times New Roman" w:hAnsi="Times New Roman"/>
                <w:sz w:val="24"/>
                <w:szCs w:val="24"/>
              </w:rPr>
            </w:pPr>
            <w:r w:rsidRPr="00C24DD6">
              <w:rPr>
                <w:rFonts w:ascii="Times New Roman" w:hAnsi="Times New Roman"/>
                <w:sz w:val="24"/>
                <w:szCs w:val="24"/>
              </w:rPr>
              <w:t>Language Experience Approach</w:t>
            </w:r>
            <w:r w:rsidR="00FB46A8">
              <w:rPr>
                <w:rFonts w:ascii="Times New Roman" w:hAnsi="Times New Roman"/>
                <w:sz w:val="24"/>
                <w:szCs w:val="24"/>
              </w:rPr>
              <w:t xml:space="preserve"> and Paragraph Frame</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291F8336" w14:textId="48154985" w:rsidR="00FE7D80" w:rsidRPr="00C24DD6" w:rsidRDefault="00C24DD6" w:rsidP="00C24DD6">
            <w:pPr>
              <w:pStyle w:val="NoSpacing"/>
              <w:spacing w:before="120"/>
              <w:rPr>
                <w:rFonts w:ascii="Times New Roman" w:hAnsi="Times New Roman"/>
                <w:sz w:val="24"/>
                <w:szCs w:val="24"/>
              </w:rPr>
            </w:pPr>
            <w:r w:rsidRPr="00C24DD6">
              <w:rPr>
                <w:rFonts w:ascii="Times New Roman" w:hAnsi="Times New Roman"/>
                <w:sz w:val="24"/>
                <w:szCs w:val="24"/>
              </w:rPr>
              <w:t>This lesson was part of a follow-up to an experiment we did in class using levers.  We reviewed the steps and vocabulary from the experiment and the data we collected.</w:t>
            </w:r>
          </w:p>
          <w:p w14:paraId="0BC5B4BA" w14:textId="73B258D7" w:rsidR="00FE7D80" w:rsidRDefault="00C24DD6">
            <w:r>
              <w:rPr>
                <w:rFonts w:ascii="Times New Roman" w:hAnsi="Times New Roman"/>
                <w:noProof/>
              </w:rPr>
              <w:drawing>
                <wp:inline distT="0" distB="0" distL="0" distR="0" wp14:anchorId="3B3420A0" wp14:editId="59D47EE7">
                  <wp:extent cx="3762123" cy="258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65362" cy="2586675"/>
                          </a:xfrm>
                          <a:prstGeom prst="rect">
                            <a:avLst/>
                          </a:prstGeom>
                          <a:noFill/>
                          <a:ln>
                            <a:noFill/>
                          </a:ln>
                        </pic:spPr>
                      </pic:pic>
                    </a:graphicData>
                  </a:graphic>
                </wp:inline>
              </w:drawing>
            </w:r>
          </w:p>
        </w:tc>
      </w:tr>
      <w:tr w:rsidR="00B87796" w14:paraId="0E9EA12F" w14:textId="77777777" w:rsidTr="00830DD9">
        <w:tc>
          <w:tcPr>
            <w:tcW w:w="2610" w:type="dxa"/>
          </w:tcPr>
          <w:p w14:paraId="02069325" w14:textId="77777777" w:rsidR="00B87796" w:rsidRPr="00830DD9" w:rsidRDefault="00B87796">
            <w:pPr>
              <w:rPr>
                <w:b/>
              </w:rPr>
            </w:pPr>
            <w:r w:rsidRPr="00830DD9">
              <w:rPr>
                <w:b/>
              </w:rPr>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2B6C699D" w14:textId="318075B3" w:rsidR="00FE7D80" w:rsidRDefault="00C24DD6">
            <w:pPr>
              <w:rPr>
                <w:rFonts w:ascii="Times New Roman" w:hAnsi="Times New Roman"/>
              </w:rPr>
            </w:pPr>
            <w:r>
              <w:rPr>
                <w:rFonts w:ascii="Times New Roman" w:hAnsi="Times New Roman"/>
              </w:rPr>
              <w:t>This strategy helped to make the content comprehensible by making a writing activity less stressful on the ELLs.  The key vocabulary words were focused in on but the burden of writing the paragraph was removed.  Also, since this activity followed an experiment that they had performed it allowed them to relate to their own experience.</w:t>
            </w:r>
          </w:p>
          <w:p w14:paraId="782DC2FF" w14:textId="0A45B096" w:rsidR="00FE7D80" w:rsidRPr="00C24DD6" w:rsidRDefault="00C24DD6" w:rsidP="00FB46A8">
            <w:pPr>
              <w:pStyle w:val="NoSpacing"/>
              <w:spacing w:before="120"/>
              <w:ind w:left="0" w:firstLine="0"/>
              <w:rPr>
                <w:rFonts w:ascii="Times New Roman" w:hAnsi="Times New Roman"/>
                <w:sz w:val="24"/>
                <w:szCs w:val="24"/>
              </w:rPr>
            </w:pPr>
            <w:r w:rsidRPr="00C24DD6">
              <w:rPr>
                <w:rFonts w:asciiTheme="minorHAnsi" w:eastAsiaTheme="minorEastAsia" w:hAnsiTheme="minorHAnsi" w:cstheme="minorBidi"/>
                <w:sz w:val="24"/>
                <w:szCs w:val="24"/>
              </w:rPr>
              <w:lastRenderedPageBreak/>
              <w:t>T</w:t>
            </w:r>
            <w:r w:rsidRPr="00C24DD6">
              <w:rPr>
                <w:rFonts w:ascii="Times New Roman" w:hAnsi="Times New Roman"/>
                <w:sz w:val="24"/>
                <w:szCs w:val="24"/>
              </w:rPr>
              <w:t>he next time I try this strategy, I would try this same strategy with the next experiment we are performing.  This would be effective for me to see if they reach the objective because though the experiment is similar in many ways</w:t>
            </w:r>
            <w:r w:rsidR="00FB46A8">
              <w:rPr>
                <w:rFonts w:ascii="Times New Roman" w:hAnsi="Times New Roman"/>
                <w:sz w:val="24"/>
                <w:szCs w:val="24"/>
              </w:rPr>
              <w:t>,</w:t>
            </w:r>
            <w:r w:rsidRPr="00C24DD6">
              <w:rPr>
                <w:rFonts w:ascii="Times New Roman" w:hAnsi="Times New Roman"/>
                <w:sz w:val="24"/>
                <w:szCs w:val="24"/>
              </w:rPr>
              <w:t xml:space="preserve"> its outcome and </w:t>
            </w:r>
            <w:proofErr w:type="gramStart"/>
            <w:r w:rsidRPr="00C24DD6">
              <w:rPr>
                <w:rFonts w:ascii="Times New Roman" w:hAnsi="Times New Roman"/>
                <w:sz w:val="24"/>
                <w:szCs w:val="24"/>
              </w:rPr>
              <w:t>concept are</w:t>
            </w:r>
            <w:proofErr w:type="gramEnd"/>
            <w:r w:rsidRPr="00C24DD6">
              <w:rPr>
                <w:rFonts w:ascii="Times New Roman" w:hAnsi="Times New Roman"/>
                <w:sz w:val="24"/>
                <w:szCs w:val="24"/>
              </w:rPr>
              <w:t xml:space="preserve"> different.  This similar format but differing outcome would show me if the students are able to distinguish between them.</w:t>
            </w:r>
          </w:p>
        </w:tc>
      </w:tr>
    </w:tbl>
    <w:p w14:paraId="769A34F4" w14:textId="77777777" w:rsidR="00B34FF2" w:rsidRDefault="00B34FF2"/>
    <w:p w14:paraId="4BE0A78D"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9B8A" w14:textId="77777777" w:rsidR="00A946C2" w:rsidRDefault="00A946C2" w:rsidP="0015719F">
      <w:r>
        <w:separator/>
      </w:r>
    </w:p>
  </w:endnote>
  <w:endnote w:type="continuationSeparator" w:id="0">
    <w:p w14:paraId="0D89D8D5" w14:textId="77777777" w:rsidR="00A946C2" w:rsidRDefault="00A946C2"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8B234" w14:textId="77777777" w:rsidR="00A946C2" w:rsidRDefault="00A946C2" w:rsidP="0015719F">
      <w:r>
        <w:separator/>
      </w:r>
    </w:p>
  </w:footnote>
  <w:footnote w:type="continuationSeparator" w:id="0">
    <w:p w14:paraId="4637C1B9" w14:textId="77777777" w:rsidR="00A946C2" w:rsidRDefault="00A946C2"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3958F3"/>
    <w:rsid w:val="007A1091"/>
    <w:rsid w:val="00830DD9"/>
    <w:rsid w:val="008C550F"/>
    <w:rsid w:val="00A946C2"/>
    <w:rsid w:val="00B34FF2"/>
    <w:rsid w:val="00B87796"/>
    <w:rsid w:val="00BB4205"/>
    <w:rsid w:val="00BE5983"/>
    <w:rsid w:val="00C24DD6"/>
    <w:rsid w:val="00D75CDD"/>
    <w:rsid w:val="00E7327B"/>
    <w:rsid w:val="00EC12DA"/>
    <w:rsid w:val="00F545CB"/>
    <w:rsid w:val="00FB46A8"/>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C24DD6"/>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C24DD6"/>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C24DD6"/>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C24DD6"/>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6EEC4-DDAA-4CDE-A3E2-774CF3C8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Lawrence Public Schools</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2014-01-31T14:21:00Z</dcterms:created>
  <dcterms:modified xsi:type="dcterms:W3CDTF">2014-04-02T17:04:00Z</dcterms:modified>
</cp:coreProperties>
</file>